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B5" w:rsidRDefault="00DB3A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3AB5" w:rsidRDefault="00DB3AB5">
      <w:pPr>
        <w:pStyle w:val="ConsPlusNormal"/>
        <w:jc w:val="both"/>
        <w:outlineLvl w:val="0"/>
      </w:pPr>
    </w:p>
    <w:p w:rsidR="00DB3AB5" w:rsidRDefault="00DB3AB5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DB3AB5" w:rsidRDefault="00DB3AB5">
      <w:pPr>
        <w:pStyle w:val="ConsPlusTitle"/>
        <w:jc w:val="center"/>
      </w:pPr>
    </w:p>
    <w:p w:rsidR="00DB3AB5" w:rsidRDefault="00DB3AB5">
      <w:pPr>
        <w:pStyle w:val="ConsPlusTitle"/>
        <w:jc w:val="center"/>
      </w:pPr>
      <w:r>
        <w:t>ПИСЬМО</w:t>
      </w:r>
    </w:p>
    <w:p w:rsidR="00DB3AB5" w:rsidRDefault="00DB3AB5">
      <w:pPr>
        <w:pStyle w:val="ConsPlusTitle"/>
        <w:jc w:val="center"/>
      </w:pPr>
      <w:r>
        <w:t>от 2 июля 2024 г. N 07-2997</w:t>
      </w:r>
    </w:p>
    <w:p w:rsidR="00DB3AB5" w:rsidRDefault="00DB3AB5">
      <w:pPr>
        <w:pStyle w:val="ConsPlusTitle"/>
        <w:jc w:val="center"/>
      </w:pPr>
    </w:p>
    <w:p w:rsidR="00DB3AB5" w:rsidRDefault="00DB3AB5">
      <w:pPr>
        <w:pStyle w:val="ConsPlusTitle"/>
        <w:jc w:val="center"/>
      </w:pPr>
      <w:r>
        <w:t>О НАПРАВЛЕНИИ ИНФОРМАЦИИ</w:t>
      </w:r>
    </w:p>
    <w:p w:rsidR="00DB3AB5" w:rsidRDefault="00DB3AB5">
      <w:pPr>
        <w:pStyle w:val="ConsPlusNormal"/>
        <w:ind w:firstLine="540"/>
        <w:jc w:val="both"/>
      </w:pPr>
    </w:p>
    <w:p w:rsidR="00DB3AB5" w:rsidRDefault="00DB3AB5">
      <w:pPr>
        <w:pStyle w:val="ConsPlusNormal"/>
        <w:ind w:firstLine="540"/>
        <w:jc w:val="both"/>
      </w:pPr>
      <w:r>
        <w:t xml:space="preserve">Во исполнение поручения, предусмотренного протоколом заочного заседания Правительственной комиссии по делам несовершеннолетних и защите их прав от 30 марта 2023 г. N 1, Минпросвещения России изучены отечественные практики правопросветительской работы и разработаны единые </w:t>
      </w:r>
      <w:hyperlink w:anchor="P27">
        <w:r>
          <w:rPr>
            <w:color w:val="0000FF"/>
          </w:rPr>
          <w:t>подходы</w:t>
        </w:r>
      </w:hyperlink>
      <w:r>
        <w:t xml:space="preserve"> по формированию целостной системы правового просвещения и правового информирования несовершеннолетних в образовательных организациях на всех уровнях образования независимо от типа указанных организаций (далее - единые подходы).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Минпросвещения России направляет единые </w:t>
      </w:r>
      <w:hyperlink w:anchor="P27">
        <w:r>
          <w:rPr>
            <w:color w:val="0000FF"/>
          </w:rPr>
          <w:t>подходы</w:t>
        </w:r>
      </w:hyperlink>
      <w:r>
        <w:t xml:space="preserve"> для организации работы.</w:t>
      </w:r>
    </w:p>
    <w:p w:rsidR="00DB3AB5" w:rsidRDefault="00DB3AB5">
      <w:pPr>
        <w:pStyle w:val="ConsPlusNormal"/>
        <w:ind w:firstLine="540"/>
        <w:jc w:val="both"/>
      </w:pPr>
    </w:p>
    <w:p w:rsidR="00DB3AB5" w:rsidRDefault="00DB3AB5">
      <w:pPr>
        <w:pStyle w:val="ConsPlusNormal"/>
        <w:jc w:val="right"/>
      </w:pPr>
      <w:r>
        <w:t>Ответственный секретарь</w:t>
      </w:r>
    </w:p>
    <w:p w:rsidR="00DB3AB5" w:rsidRDefault="00DB3AB5">
      <w:pPr>
        <w:pStyle w:val="ConsPlusNormal"/>
        <w:jc w:val="right"/>
      </w:pPr>
      <w:r>
        <w:t>Правительственной комиссии</w:t>
      </w:r>
    </w:p>
    <w:p w:rsidR="00DB3AB5" w:rsidRDefault="00DB3AB5">
      <w:pPr>
        <w:pStyle w:val="ConsPlusNormal"/>
        <w:jc w:val="right"/>
      </w:pPr>
      <w:r>
        <w:t>по делам несовершеннолетних</w:t>
      </w:r>
    </w:p>
    <w:p w:rsidR="00DB3AB5" w:rsidRDefault="00DB3AB5">
      <w:pPr>
        <w:pStyle w:val="ConsPlusNormal"/>
        <w:jc w:val="right"/>
      </w:pPr>
      <w:r>
        <w:t>и защите их прав,</w:t>
      </w:r>
    </w:p>
    <w:p w:rsidR="00DB3AB5" w:rsidRDefault="00DB3AB5">
      <w:pPr>
        <w:pStyle w:val="ConsPlusNormal"/>
        <w:jc w:val="right"/>
      </w:pPr>
      <w:r>
        <w:t>директор Департамента</w:t>
      </w:r>
    </w:p>
    <w:p w:rsidR="00DB3AB5" w:rsidRDefault="00DB3AB5">
      <w:pPr>
        <w:pStyle w:val="ConsPlusNormal"/>
        <w:jc w:val="right"/>
      </w:pPr>
      <w:r>
        <w:t>государственной политики</w:t>
      </w:r>
    </w:p>
    <w:p w:rsidR="00DB3AB5" w:rsidRDefault="00DB3AB5">
      <w:pPr>
        <w:pStyle w:val="ConsPlusNormal"/>
        <w:jc w:val="right"/>
      </w:pPr>
      <w:r>
        <w:t>в сфере защиты прав детей</w:t>
      </w:r>
    </w:p>
    <w:p w:rsidR="00DB3AB5" w:rsidRDefault="00DB3AB5">
      <w:pPr>
        <w:pStyle w:val="ConsPlusNormal"/>
        <w:jc w:val="right"/>
      </w:pPr>
      <w:r>
        <w:t>Минпросвещения России</w:t>
      </w:r>
    </w:p>
    <w:p w:rsidR="00DB3AB5" w:rsidRDefault="00DB3AB5">
      <w:pPr>
        <w:pStyle w:val="ConsPlusNormal"/>
        <w:jc w:val="right"/>
      </w:pPr>
      <w:r>
        <w:t>Л.П.ФАЛЬКОВСКАЯ</w:t>
      </w:r>
    </w:p>
    <w:p w:rsidR="00DB3AB5" w:rsidRDefault="00DB3AB5">
      <w:pPr>
        <w:pStyle w:val="ConsPlusNormal"/>
        <w:jc w:val="right"/>
      </w:pPr>
    </w:p>
    <w:p w:rsidR="00DB3AB5" w:rsidRDefault="00DB3AB5">
      <w:pPr>
        <w:pStyle w:val="ConsPlusNormal"/>
        <w:jc w:val="right"/>
      </w:pPr>
    </w:p>
    <w:p w:rsidR="00DB3AB5" w:rsidRDefault="00DB3AB5">
      <w:pPr>
        <w:pStyle w:val="ConsPlusNormal"/>
        <w:jc w:val="right"/>
      </w:pPr>
    </w:p>
    <w:p w:rsidR="00DB3AB5" w:rsidRDefault="00DB3AB5">
      <w:pPr>
        <w:pStyle w:val="ConsPlusNormal"/>
        <w:jc w:val="right"/>
      </w:pPr>
    </w:p>
    <w:p w:rsidR="00DB3AB5" w:rsidRDefault="00DB3AB5">
      <w:pPr>
        <w:pStyle w:val="ConsPlusNormal"/>
        <w:jc w:val="right"/>
      </w:pPr>
    </w:p>
    <w:p w:rsidR="00DB3AB5" w:rsidRDefault="00DB3AB5">
      <w:pPr>
        <w:pStyle w:val="ConsPlusNormal"/>
        <w:jc w:val="right"/>
        <w:outlineLvl w:val="0"/>
      </w:pPr>
      <w:r>
        <w:t>Приложение</w:t>
      </w:r>
    </w:p>
    <w:p w:rsidR="00DB3AB5" w:rsidRDefault="00DB3AB5">
      <w:pPr>
        <w:pStyle w:val="ConsPlusNormal"/>
        <w:jc w:val="center"/>
      </w:pPr>
    </w:p>
    <w:p w:rsidR="00DB3AB5" w:rsidRDefault="00DB3AB5">
      <w:pPr>
        <w:pStyle w:val="ConsPlusTitle"/>
        <w:jc w:val="center"/>
      </w:pPr>
      <w:bookmarkStart w:id="0" w:name="P27"/>
      <w:bookmarkEnd w:id="0"/>
      <w:r>
        <w:t>ЕДИНЫЕ ПОДХОДЫ</w:t>
      </w:r>
    </w:p>
    <w:p w:rsidR="00DB3AB5" w:rsidRDefault="00DB3AB5">
      <w:pPr>
        <w:pStyle w:val="ConsPlusTitle"/>
        <w:jc w:val="center"/>
      </w:pPr>
      <w:r>
        <w:t>ПО ФОРМИРОВАНИЮ ЦЕЛОСТНОЙ СИСТЕМЫ ПРАВОВОГО</w:t>
      </w:r>
    </w:p>
    <w:p w:rsidR="00DB3AB5" w:rsidRDefault="00DB3AB5">
      <w:pPr>
        <w:pStyle w:val="ConsPlusTitle"/>
        <w:jc w:val="center"/>
      </w:pPr>
      <w:r>
        <w:t>ПРОСВЕЩЕНИЯ И ПРАВОВОГО ИНФОРМИРОВАНИЯ НЕСОВЕРШЕННОЛЕТНИХ</w:t>
      </w:r>
    </w:p>
    <w:p w:rsidR="00DB3AB5" w:rsidRDefault="00DB3AB5">
      <w:pPr>
        <w:pStyle w:val="ConsPlusTitle"/>
        <w:jc w:val="center"/>
      </w:pPr>
      <w:r>
        <w:t>В ОБРАЗОВАТЕЛЬНЫХ ОРГАНИЗАЦИЯХ НА ВСЕХ УРОВНЯХ ОБРАЗОВАНИЯ</w:t>
      </w:r>
    </w:p>
    <w:p w:rsidR="00DB3AB5" w:rsidRDefault="00DB3AB5">
      <w:pPr>
        <w:pStyle w:val="ConsPlusTitle"/>
        <w:jc w:val="center"/>
      </w:pPr>
      <w:r>
        <w:t>НЕЗАВИСИМО ОТ ТИПА УКАЗАННЫХ ОРГАНИЗАЦИЙ</w:t>
      </w:r>
    </w:p>
    <w:p w:rsidR="00DB3AB5" w:rsidRDefault="00DB3AB5">
      <w:pPr>
        <w:pStyle w:val="ConsPlusNormal"/>
        <w:jc w:val="center"/>
      </w:pPr>
    </w:p>
    <w:p w:rsidR="00DB3AB5" w:rsidRDefault="00DB3AB5">
      <w:pPr>
        <w:pStyle w:val="ConsPlusNormal"/>
        <w:ind w:firstLine="540"/>
        <w:jc w:val="both"/>
      </w:pPr>
      <w:r>
        <w:t>Основой, гарантирующей единообразие подходов по формированию целостной системы правового просвещения и правового информирования несовершеннолетних в целом и в образовательных организациях в частности на территории Российской Федерации, является целый ряд нормативных правовых документов.</w:t>
      </w:r>
    </w:p>
    <w:p w:rsidR="00DB3AB5" w:rsidRDefault="00DB3AB5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Часть 4 статьи 67.1</w:t>
        </w:r>
      </w:hyperlink>
      <w:r>
        <w:t xml:space="preserve"> Конституции Российской Федерации декларирует, что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Одним из ключевых документов в организации совместной деятельности государственных органов и институтов гражданского общества в сфере правового просвещения являются </w:t>
      </w:r>
      <w:hyperlink r:id="rId6">
        <w:r>
          <w:rPr>
            <w:color w:val="0000FF"/>
          </w:rPr>
          <w:t>Основы</w:t>
        </w:r>
      </w:hyperlink>
      <w:r>
        <w:t xml:space="preserve"> государственной политики Российской Федерации в сфере развития правовой грамотности и </w:t>
      </w:r>
      <w:r>
        <w:lastRenderedPageBreak/>
        <w:t>правосознания граждан, утвержденные в 2011 году Президентом Российской Федерации.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 к традиционным ценностям отнесены в том числе гражданственность, права и свободы человека. Традиционные ценности - это нравственные ориентиры, формирующие мировоззрение граждан России, поэтому формирование целостной системы правового просвещения и правового информирования несовершеннолетних невозможно без опоры на нравственные ориентиры российского народа.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Федеральный закон от 23 июня 2016 г. N 182-ФЗ "Об основах системы профилактики правонарушений в Российской Федерации" (далее - Федеральный закон N 182-ФЗ) в </w:t>
      </w:r>
      <w:hyperlink r:id="rId8">
        <w:r>
          <w:rPr>
            <w:color w:val="0000FF"/>
          </w:rPr>
          <w:t>статьях 17</w:t>
        </w:r>
      </w:hyperlink>
      <w:r>
        <w:t xml:space="preserve">, </w:t>
      </w:r>
      <w:hyperlink r:id="rId9">
        <w:r>
          <w:rPr>
            <w:color w:val="0000FF"/>
          </w:rPr>
          <w:t>18</w:t>
        </w:r>
      </w:hyperlink>
      <w:r>
        <w:t xml:space="preserve"> предусматривает, что профилактическое воздействие может осуществляться в форме правового просвещения и правового информирования. 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Также в </w:t>
      </w:r>
      <w:hyperlink r:id="rId10">
        <w:r>
          <w:rPr>
            <w:color w:val="0000FF"/>
          </w:rPr>
          <w:t>статье 11</w:t>
        </w:r>
      </w:hyperlink>
      <w:r>
        <w:t xml:space="preserve"> Федерального закона N 182-ФЗ,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 предусмотрено наделение органов государственной власти субъектов Российской Федерации в сфере профилактики правонарушений полномочием по профилактике правонарушений в такой форме профилактического воздействия, как правовое просвещение и правовое информирование. Такое же полномочие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N 182-ФЗ предусматривается и органам местного самоуправления в соответствии с компетенцией, предусмотренной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Федеральный закон от 21 ноября 2011 г. N 324-ФЗ "О бесплатной юридической помощи в Российской Федерации" в </w:t>
      </w:r>
      <w:hyperlink r:id="rId14">
        <w:r>
          <w:rPr>
            <w:color w:val="0000FF"/>
          </w:rPr>
          <w:t>статье 28</w:t>
        </w:r>
      </w:hyperlink>
      <w:r>
        <w:t xml:space="preserve"> предусматривает, что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возлагаться на государственные юридические бюро, адвокатов и нотариусов.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Правовое просвещение, проведение комплекса мероприятий по формированию и повышению правового сознания и правовой культуры, навыков в реализации прав и свобод в качестве меры по раннему выявлению и профилактике девиантного поведения несовершеннолетних предусмотрено </w:t>
      </w:r>
      <w:hyperlink r:id="rId15">
        <w:r>
          <w:rPr>
            <w:color w:val="0000FF"/>
          </w:rPr>
          <w:t>Концепцией</w:t>
        </w:r>
      </w:hyperlink>
      <w:r>
        <w:t xml:space="preserve"> развития системы профилактики безнадзорности и правонарушений несовершеннолетних на период до 2025 года, утвержденной распоряжением Правительства Российской Федерации от 22 марта 2017 г. N 520-р.</w:t>
      </w:r>
    </w:p>
    <w:p w:rsidR="00DB3AB5" w:rsidRDefault="00DB3AB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Статьей 14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 предусматривается, что органы, осуществляющие управление в сфере образования, в пределах своей компетенции разрабатывают и внедряют в практику работы образовательных организаций программы и </w:t>
      </w:r>
      <w:r>
        <w:lastRenderedPageBreak/>
        <w:t>методики, направленные на формирование законопослушного поведения несовершеннолетних, а организации, осуществляющие образовательную деятельность,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Мероприятия по организации правового просвещения детей, родителей (законных представителей), специалистов, работающих с детьми и в интересах детей, предусмотрены </w:t>
      </w:r>
      <w:hyperlink r:id="rId17">
        <w:r>
          <w:rPr>
            <w:color w:val="0000FF"/>
          </w:rPr>
          <w:t>планом</w:t>
        </w:r>
      </w:hyperlink>
      <w:r>
        <w:t xml:space="preserve"> основных мероприятий, проводимых в рамках Десятилетия детства, на период до 2027 года, утвержденным распоряжением Правительства Российской Федерации от 23 января 2021 г. N 122-р.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Федеральные государственные образовательные стандарты (далее - ФГОС) начального общего и основного общего образования определяют межпредметность обучения правам человека в образовательных организациях, формирование правосознания, правовой компетентности.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В рамках федерального государственного образовательного </w:t>
      </w:r>
      <w:hyperlink r:id="rId18">
        <w:r>
          <w:rPr>
            <w:color w:val="0000FF"/>
          </w:rPr>
          <w:t>стандарта</w:t>
        </w:r>
      </w:hyperlink>
      <w:r>
        <w:t xml:space="preserve"> основного общего образования, утвержденного приказом Минпросвещения России от 31 мая 2021 г. N 287, программа формирования универсальных учебных действий у обучающихся должна обеспечивать формирование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гражданского воспитания - готовность к выполнению обязанностей гражданина и реализации его прав, уважение прав, свобод и законных интересов других людей;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духовно-нравственного воспитания -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В макет ФГОС среднего профессионального образования включены обновленные общие компетенции как обязательный планируемый результат освоения образовательной программы. Так, для правового просвещения и правового информирования действует ОК 03 "Планировать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ситуациях".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ФГОС высшего образования предусматривает одну из универсальных компетенций как способность выпускника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Одна из категорий общепрофессиональных компетенций выпускника - правовая грамотность как способность использовать основы правовых знаний в различных сферах жизнедеятельности.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При организации правового просвещения и правового информирования несовершеннолетних необходимо руководствоваться положениями </w:t>
      </w:r>
      <w:hyperlink r:id="rId19">
        <w:r>
          <w:rPr>
            <w:color w:val="0000FF"/>
          </w:rPr>
          <w:t>статьи 12.2</w:t>
        </w:r>
      </w:hyperlink>
      <w:r>
        <w:t xml:space="preserve"> Федерального </w:t>
      </w:r>
      <w:r>
        <w:lastRenderedPageBreak/>
        <w:t xml:space="preserve">закона от 29 декабря 2012 г. N 273-ФЗ "Об образовании в Российской Федерации". Порядок, условия и формы осуществления в том числе правового просвещения и правового информирования, установлены </w:t>
      </w:r>
      <w:hyperlink r:id="rId20">
        <w:r>
          <w:rPr>
            <w:color w:val="0000FF"/>
          </w:rPr>
          <w:t>Правилами</w:t>
        </w:r>
      </w:hyperlink>
      <w:r>
        <w:t xml:space="preserve"> осуществления просветительской деятельности, утвержденными постановлением Правительства Российской Федерации от 1 июля 2022 г. N 1195.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Согласно действующему законодательству Российской Федерации просветительская деятельность осуществляется органами государственной власти, иными государственными органами, органами местного самоуправления, уполномоченными ими организациями, а также может осуществляться физическими лицами, индивидуальными предпринимателями и (или) юридическими лицами.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Система правового просвещения и правового информирования несовершеннолетних представляет собой совокупность общего и </w:t>
      </w:r>
      <w:proofErr w:type="gramStart"/>
      <w:r>
        <w:t>специального правового просвещения</w:t>
      </w:r>
      <w:proofErr w:type="gramEnd"/>
      <w:r>
        <w:t xml:space="preserve"> и правового информирования.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Общее правовое просвещение и правовое информирование предусматривают организацию работы с несовершеннолетними обучающимися на всех уровнях образования, независимо от типов образовательных организаций, а также с их родителями (законными представителями), специалистами, работающими с несовершеннолетними и в интересах несовершеннолетних.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Специальное правовое просвещение и правовое информирование предусматривает организацию работы с несовершеннолетними, имеющими особые правовые потребности. Эта категория синонимична понятию дети, находящиеся в трудной жизненной ситуации, закрепленному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Правовое просвещение и правовое информирование направлено на формирование у несовершеннолетних граждан правовой грамотности и правосознания, основ законопослушного поведения, и как результат, их личностную и социальную продуктивность, успешную социализацию.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Целями государственной политики в сфере развития правовой грамотности и правосознания несовершеннолетних граждан являются: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1) формирование устойчивого уважения к закону и преодоление правового нигилизма;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2) повышение уровня правовой культуры, включая уровень осведомленности и юридической грамотности;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3) создание системы стимулов к законопослушанию как основной модели социального поведения;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4) внедрение в общественное сознание идеи добросовестного исполнения обязанностей и соблюдения правовых норм.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Законопослушное (нормативном) поведение - устойчивое поведение человека, при котором он следует наиболее важным социальным нормам, стремится поддержать общественный порядок и равновесие на основе норм закона, сохраняя при этом собственную индивидуальность.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Усвоение социальных норм, основывается на имеющихся в обществе ценностных ориентирах, в том числе духовно-нравственных ценностях, нормах морали и нравственности, а также на правовых, организационных нормах.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 xml:space="preserve">Система правового просвещения и правового информирования предусматривает организацию работы с несовершеннолетними с учетом всех форм образовательной деятельности, включая учебную (урочную) и внеучебную (внеурочную) деятельность, видов и уровней </w:t>
      </w:r>
      <w:r>
        <w:lastRenderedPageBreak/>
        <w:t>образовательных программ.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Правовое просвещение и правовое информирование может реализовываться в форме лекций, презентаций, семинаров, мастер-классов, круглых столов, дискуссий и иных формах, в том числе интерактивных, а также с использованием информационно-телекоммуникационной сети "Интернет". При этом организационные формы проведения таких мероприятий выбираются с учетом образовательных потребностей несовершеннолетних, их возрастных и личностных особенностей.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Правовое просвещение и правовое информирование осуществляется с учетом организационных уровней: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уровень образовательной организации (учебная (урочная), внеучебная (внеурочная), воспитывающая деятельность, формирование уклада образовательной организации, вовлекающей среды);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региональный уровень (формирование и реализация региональных нормативных, стратегических, программных и иных документов, мер, мероприятий);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федеральный уровень (формирование и реализация федеральных нормативных, стратегических, программных и иных документов, мер, мероприятий).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Каждый организационный уровень определяет основной состав участников правового просвещения и правового информирования, их функции.</w:t>
      </w:r>
    </w:p>
    <w:p w:rsidR="00DB3AB5" w:rsidRDefault="00DB3AB5">
      <w:pPr>
        <w:pStyle w:val="ConsPlusNormal"/>
        <w:spacing w:before="220"/>
        <w:ind w:firstLine="540"/>
        <w:jc w:val="both"/>
      </w:pPr>
      <w:r>
        <w:t>Одним из ключевых условий формирования целостной системы является наличие у специалистов компетенций по организации процесса правового просвещения и правового информирования несовершеннолетних.</w:t>
      </w:r>
    </w:p>
    <w:p w:rsidR="00DB3AB5" w:rsidRDefault="00DB3AB5">
      <w:pPr>
        <w:pStyle w:val="ConsPlusNormal"/>
        <w:jc w:val="both"/>
      </w:pPr>
    </w:p>
    <w:p w:rsidR="00DB3AB5" w:rsidRDefault="00DB3AB5">
      <w:pPr>
        <w:pStyle w:val="ConsPlusNormal"/>
        <w:jc w:val="both"/>
      </w:pPr>
    </w:p>
    <w:p w:rsidR="00DB3AB5" w:rsidRDefault="00DB3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1E8" w:rsidRDefault="00DB3AB5">
      <w:bookmarkStart w:id="1" w:name="_GoBack"/>
      <w:bookmarkEnd w:id="1"/>
    </w:p>
    <w:sectPr w:rsidR="009911E8" w:rsidSect="0041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B5"/>
    <w:rsid w:val="00282EBF"/>
    <w:rsid w:val="004166C6"/>
    <w:rsid w:val="008F532A"/>
    <w:rsid w:val="00DB3AB5"/>
    <w:rsid w:val="00E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39EE-8CBB-45F4-9B74-F78318A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3A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3A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9976&amp;dst=100129" TargetMode="External"/><Relationship Id="rId13" Type="http://schemas.openxmlformats.org/officeDocument/2006/relationships/hyperlink" Target="https://login.consultant.ru/link/?req=doc&amp;base=LAW&amp;n=480809" TargetMode="External"/><Relationship Id="rId18" Type="http://schemas.openxmlformats.org/officeDocument/2006/relationships/hyperlink" Target="https://login.consultant.ru/link/?req=doc&amp;base=LAW&amp;n=439309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6171&amp;dst=151" TargetMode="External"/><Relationship Id="rId7" Type="http://schemas.openxmlformats.org/officeDocument/2006/relationships/hyperlink" Target="https://login.consultant.ru/link/?req=doc&amp;base=LAW&amp;n=430906&amp;dst=100018" TargetMode="External"/><Relationship Id="rId12" Type="http://schemas.openxmlformats.org/officeDocument/2006/relationships/hyperlink" Target="https://login.consultant.ru/link/?req=doc&amp;base=LAW&amp;n=199976&amp;dst=100100" TargetMode="External"/><Relationship Id="rId17" Type="http://schemas.openxmlformats.org/officeDocument/2006/relationships/hyperlink" Target="https://login.consultant.ru/link/?req=doc&amp;base=LAW&amp;n=460848&amp;dst=1002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870&amp;dst=128" TargetMode="External"/><Relationship Id="rId20" Type="http://schemas.openxmlformats.org/officeDocument/2006/relationships/hyperlink" Target="https://login.consultant.ru/link/?req=doc&amp;base=LAW&amp;n=42108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3761" TargetMode="External"/><Relationship Id="rId11" Type="http://schemas.openxmlformats.org/officeDocument/2006/relationships/hyperlink" Target="https://login.consultant.ru/link/?req=doc&amp;base=LAW&amp;n=404439" TargetMode="External"/><Relationship Id="rId5" Type="http://schemas.openxmlformats.org/officeDocument/2006/relationships/hyperlink" Target="https://login.consultant.ru/link/?req=doc&amp;base=LAW&amp;n=2875&amp;dst=7" TargetMode="External"/><Relationship Id="rId15" Type="http://schemas.openxmlformats.org/officeDocument/2006/relationships/hyperlink" Target="https://login.consultant.ru/link/?req=doc&amp;base=LAW&amp;n=380029&amp;dst=1003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99976&amp;dst=100091" TargetMode="External"/><Relationship Id="rId19" Type="http://schemas.openxmlformats.org/officeDocument/2006/relationships/hyperlink" Target="https://login.consultant.ru/link/?req=doc&amp;base=LAW&amp;n=478592&amp;dst=5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9976&amp;dst=100142" TargetMode="External"/><Relationship Id="rId14" Type="http://schemas.openxmlformats.org/officeDocument/2006/relationships/hyperlink" Target="https://login.consultant.ru/link/?req=doc&amp;base=LAW&amp;n=451733&amp;dst=1002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2024-07-31T07:02:00Z</dcterms:created>
  <dcterms:modified xsi:type="dcterms:W3CDTF">2024-07-31T07:03:00Z</dcterms:modified>
</cp:coreProperties>
</file>